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2EA66" w14:textId="3BA9B351" w:rsidR="001B6CE6" w:rsidRPr="00C90AF0" w:rsidRDefault="00AE2594" w:rsidP="00C90AF0">
      <w:pPr>
        <w:jc w:val="center"/>
        <w:rPr>
          <w:b/>
          <w:bCs/>
          <w:sz w:val="36"/>
          <w:szCs w:val="36"/>
        </w:rPr>
      </w:pPr>
      <w:r w:rsidRPr="00AE2594">
        <w:rPr>
          <w:b/>
          <w:bCs/>
          <w:sz w:val="36"/>
          <w:szCs w:val="36"/>
        </w:rPr>
        <w:t>FEE BENCHMARKING INSTRUCTIONS</w:t>
      </w:r>
    </w:p>
    <w:p w14:paraId="418FB6CF" w14:textId="4752F083" w:rsidR="00B86D7C" w:rsidRPr="00E67885" w:rsidRDefault="001B6CE6" w:rsidP="00E67885">
      <w:r>
        <w:t xml:space="preserve">Business Advisor requests benchmark for plan by emailing </w:t>
      </w:r>
      <w:r w:rsidR="00B86D7C">
        <w:t>Sales Support</w:t>
      </w:r>
      <w:r>
        <w:t xml:space="preserve"> and includes Current Fee Schedule and most recent Quarterly Invoice</w:t>
      </w:r>
      <w:r w:rsidR="00B86D7C">
        <w:t xml:space="preserve"> and completed RPAG Fee Benchmark Request Form.</w:t>
      </w:r>
    </w:p>
    <w:p w14:paraId="34A995BB" w14:textId="77777777" w:rsidR="00B86D7C" w:rsidRDefault="00B86D7C">
      <w:r>
        <w:t>Completing RPAG Fee Benchmark Request Form:</w:t>
      </w:r>
    </w:p>
    <w:p w14:paraId="4C96F677" w14:textId="6098C44E" w:rsidR="00BD4B88" w:rsidRDefault="00B86D7C" w:rsidP="00B86D7C">
      <w:pPr>
        <w:pStyle w:val="ListParagraph"/>
        <w:numPr>
          <w:ilvl w:val="0"/>
          <w:numId w:val="3"/>
        </w:numPr>
      </w:pPr>
      <w:r>
        <w:t>Open form and select tab 2 “Annualization Calculation”.</w:t>
      </w:r>
    </w:p>
    <w:p w14:paraId="5FAFCBBC" w14:textId="373DAEC3" w:rsidR="00B86D7C" w:rsidRDefault="00B86D7C" w:rsidP="00B86D7C">
      <w:pPr>
        <w:pStyle w:val="ListParagraph"/>
        <w:numPr>
          <w:ilvl w:val="0"/>
          <w:numId w:val="3"/>
        </w:numPr>
      </w:pPr>
      <w:r>
        <w:t>Key in quarterly fees in “Quarterly Charge In $$” column from most recent quarterly invoice. These quarterly charges are automatically annualized and carried to Tab 1 “Annualized Fees”.</w:t>
      </w:r>
    </w:p>
    <w:p w14:paraId="453D8569" w14:textId="42408259" w:rsidR="00AE2594" w:rsidRDefault="00B86D7C" w:rsidP="00B86D7C">
      <w:pPr>
        <w:pStyle w:val="ListParagraph"/>
        <w:numPr>
          <w:ilvl w:val="0"/>
          <w:numId w:val="3"/>
        </w:numPr>
      </w:pPr>
      <w:r>
        <w:t>Select Tab 1 and e</w:t>
      </w:r>
      <w:r w:rsidR="00AC66D7">
        <w:t>nter the plan name and report date at the top left of the first page.</w:t>
      </w:r>
      <w:r w:rsidR="00310592">
        <w:t xml:space="preserve"> (Report </w:t>
      </w:r>
      <w:r>
        <w:t xml:space="preserve"> </w:t>
      </w:r>
      <w:r w:rsidR="00310592">
        <w:t xml:space="preserve">date </w:t>
      </w:r>
      <w:r>
        <w:t xml:space="preserve">should match the </w:t>
      </w:r>
      <w:r w:rsidR="00B471F7">
        <w:t>“Market Value D</w:t>
      </w:r>
      <w:r>
        <w:t>ate</w:t>
      </w:r>
      <w:r w:rsidR="00B471F7">
        <w:t>”</w:t>
      </w:r>
      <w:r>
        <w:t xml:space="preserve"> </w:t>
      </w:r>
      <w:r w:rsidR="00B471F7">
        <w:t xml:space="preserve">listed on </w:t>
      </w:r>
      <w:r>
        <w:t>th</w:t>
      </w:r>
      <w:r w:rsidR="00B471F7">
        <w:t>e</w:t>
      </w:r>
      <w:r>
        <w:t xml:space="preserve"> invoice used </w:t>
      </w:r>
      <w:r w:rsidR="00CE2FE4">
        <w:t>to populate tab 2.</w:t>
      </w:r>
      <w:r w:rsidR="00B471F7">
        <w:t xml:space="preserve"> </w:t>
      </w:r>
      <w:r w:rsidR="00CE2FE4">
        <w:t>)</w:t>
      </w:r>
    </w:p>
    <w:p w14:paraId="4AA4507E" w14:textId="52467B7C" w:rsidR="00AE2594" w:rsidRPr="00AE2594" w:rsidRDefault="00AE2594">
      <w:pPr>
        <w:rPr>
          <w:b/>
          <w:bCs/>
          <w:sz w:val="24"/>
          <w:szCs w:val="24"/>
        </w:rPr>
      </w:pPr>
      <w:r w:rsidRPr="00AE2594">
        <w:rPr>
          <w:b/>
          <w:bCs/>
          <w:sz w:val="24"/>
          <w:szCs w:val="24"/>
        </w:rPr>
        <w:t>ENVESTNET SECTION</w:t>
      </w:r>
    </w:p>
    <w:p w14:paraId="72C8E757" w14:textId="26E2144E" w:rsidR="00AD1328" w:rsidRDefault="00310592">
      <w:r>
        <w:t>Log into</w:t>
      </w:r>
      <w:r w:rsidR="00AC66D7">
        <w:t xml:space="preserve"> Envestnet and </w:t>
      </w:r>
      <w:r>
        <w:t>loc</w:t>
      </w:r>
      <w:r w:rsidR="00AD1328">
        <w:t>a</w:t>
      </w:r>
      <w:r>
        <w:t>te the</w:t>
      </w:r>
      <w:r w:rsidR="00AC66D7">
        <w:t xml:space="preserve"> d</w:t>
      </w:r>
      <w:r w:rsidR="00AD1328">
        <w:t>esired plan.</w:t>
      </w:r>
      <w:r w:rsidR="00CE2FE4">
        <w:t xml:space="preserve"> You will gather Plan Balance and Gross Investment Expense Ratio from Envestnet.</w:t>
      </w:r>
    </w:p>
    <w:p w14:paraId="78CCEAE3" w14:textId="2CC2CC3C" w:rsidR="00310592" w:rsidRDefault="00AD1328">
      <w:r>
        <w:rPr>
          <w:noProof/>
        </w:rPr>
        <w:drawing>
          <wp:inline distT="0" distB="0" distL="0" distR="0" wp14:anchorId="7E756F26" wp14:editId="1152B3A7">
            <wp:extent cx="5943600" cy="3305175"/>
            <wp:effectExtent l="0" t="0" r="0" b="9525"/>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r:embed="rId5"/>
                    <a:stretch>
                      <a:fillRect/>
                    </a:stretch>
                  </pic:blipFill>
                  <pic:spPr>
                    <a:xfrm>
                      <a:off x="0" y="0"/>
                      <a:ext cx="5943600" cy="3305175"/>
                    </a:xfrm>
                    <a:prstGeom prst="rect">
                      <a:avLst/>
                    </a:prstGeom>
                  </pic:spPr>
                </pic:pic>
              </a:graphicData>
            </a:graphic>
          </wp:inline>
        </w:drawing>
      </w:r>
    </w:p>
    <w:p w14:paraId="769EF62C" w14:textId="4DD8FBDD" w:rsidR="00B471F7" w:rsidRDefault="00310592" w:rsidP="00CE2FE4">
      <w:pPr>
        <w:pStyle w:val="ListParagraph"/>
        <w:numPr>
          <w:ilvl w:val="0"/>
          <w:numId w:val="5"/>
        </w:numPr>
      </w:pPr>
      <w:r>
        <w:t xml:space="preserve">Once plan </w:t>
      </w:r>
      <w:r w:rsidR="00B471F7">
        <w:t xml:space="preserve">being benchmarked </w:t>
      </w:r>
      <w:r>
        <w:t xml:space="preserve">is open </w:t>
      </w:r>
      <w:r w:rsidR="00CE2FE4">
        <w:t xml:space="preserve">use balance on “Plan Summary” page from Envestnet entering this amount in the “Total Assets” cell on tab 1 of the request spreadsheet. This date should coincide with the </w:t>
      </w:r>
      <w:r w:rsidR="009419E8">
        <w:t xml:space="preserve">“Market Value Date” </w:t>
      </w:r>
      <w:r w:rsidR="00CE2FE4">
        <w:t xml:space="preserve">on </w:t>
      </w:r>
      <w:r w:rsidR="009419E8">
        <w:t xml:space="preserve">the </w:t>
      </w:r>
      <w:r w:rsidR="00CE2FE4">
        <w:t>invoice being used for calculation</w:t>
      </w:r>
      <w:r w:rsidR="003312CB">
        <w:t xml:space="preserve">. (If this date is more recent that the Market Valuation Date on the invoice (Envestnet is updated monthly) you can take balance directly from the Envestnet Quarterly Monitoring Report. </w:t>
      </w:r>
      <w:r w:rsidR="009419E8">
        <w:t xml:space="preserve"> </w:t>
      </w:r>
    </w:p>
    <w:p w14:paraId="46E523FB" w14:textId="44E5669B" w:rsidR="003312CB" w:rsidRDefault="003312CB" w:rsidP="00CE2FE4">
      <w:pPr>
        <w:pStyle w:val="ListParagraph"/>
        <w:numPr>
          <w:ilvl w:val="0"/>
          <w:numId w:val="5"/>
        </w:numPr>
      </w:pPr>
      <w:r>
        <w:t>The Plan Balance can also be found by logging into alerusrb.com and accessing the Plan Balance screen. Be sure to enter the “View Balances by Investment As of Date” so that it matches the Invoice Market Valuation Date.</w:t>
      </w:r>
    </w:p>
    <w:p w14:paraId="3384846C" w14:textId="661CB6D5" w:rsidR="00CE2FE4" w:rsidRDefault="009419E8" w:rsidP="00CE2FE4">
      <w:pPr>
        <w:pStyle w:val="ListParagraph"/>
        <w:numPr>
          <w:ilvl w:val="0"/>
          <w:numId w:val="5"/>
        </w:numPr>
      </w:pPr>
      <w:r>
        <w:rPr>
          <w:noProof/>
        </w:rPr>
        <w:lastRenderedPageBreak/>
        <w:drawing>
          <wp:inline distT="0" distB="0" distL="0" distR="0" wp14:anchorId="11757333" wp14:editId="499DB1C5">
            <wp:extent cx="5943600" cy="2769870"/>
            <wp:effectExtent l="0" t="0" r="0" b="0"/>
            <wp:docPr id="4" name="Picture 4"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pic:cNvPicPr/>
                  </pic:nvPicPr>
                  <pic:blipFill>
                    <a:blip r:embed="rId6"/>
                    <a:stretch>
                      <a:fillRect/>
                    </a:stretch>
                  </pic:blipFill>
                  <pic:spPr>
                    <a:xfrm>
                      <a:off x="0" y="0"/>
                      <a:ext cx="5943600" cy="2769870"/>
                    </a:xfrm>
                    <a:prstGeom prst="rect">
                      <a:avLst/>
                    </a:prstGeom>
                  </pic:spPr>
                </pic:pic>
              </a:graphicData>
            </a:graphic>
          </wp:inline>
        </w:drawing>
      </w:r>
      <w:r w:rsidR="00CE2FE4">
        <w:t xml:space="preserve"> </w:t>
      </w:r>
    </w:p>
    <w:p w14:paraId="5CF1BB22" w14:textId="77777777" w:rsidR="009419E8" w:rsidRDefault="009419E8" w:rsidP="009419E8">
      <w:pPr>
        <w:pStyle w:val="ListParagraph"/>
      </w:pPr>
    </w:p>
    <w:p w14:paraId="107125B3" w14:textId="77777777" w:rsidR="009419E8" w:rsidRDefault="009419E8" w:rsidP="009419E8">
      <w:pPr>
        <w:pStyle w:val="ListParagraph"/>
      </w:pPr>
    </w:p>
    <w:p w14:paraId="6480CAC6" w14:textId="77777777" w:rsidR="009419E8" w:rsidRDefault="009419E8" w:rsidP="009419E8">
      <w:pPr>
        <w:pStyle w:val="ListParagraph"/>
      </w:pPr>
    </w:p>
    <w:p w14:paraId="62B6F611" w14:textId="4B56EC4C" w:rsidR="00310592" w:rsidRDefault="00CE2FE4" w:rsidP="009419E8">
      <w:pPr>
        <w:pStyle w:val="ListParagraph"/>
        <w:numPr>
          <w:ilvl w:val="0"/>
          <w:numId w:val="5"/>
        </w:numPr>
      </w:pPr>
      <w:r>
        <w:t>Next</w:t>
      </w:r>
      <w:r w:rsidR="00B471F7">
        <w:t>,</w:t>
      </w:r>
      <w:r>
        <w:t xml:space="preserve"> </w:t>
      </w:r>
      <w:r w:rsidR="00553BC4">
        <w:t>to access Average Weighted Gross Investment Expense s</w:t>
      </w:r>
      <w:r w:rsidR="00310592">
        <w:t>croll down to “Investments” and select the “Chart” icon on right next to</w:t>
      </w:r>
      <w:r w:rsidR="00553BC4">
        <w:t xml:space="preserve"> XLS</w:t>
      </w:r>
      <w:r w:rsidR="00310592">
        <w:t xml:space="preserve"> icon</w:t>
      </w:r>
      <w:r w:rsidR="00553BC4">
        <w:t xml:space="preserve"> and Pencil</w:t>
      </w:r>
      <w:r w:rsidR="00310592">
        <w:t>.</w:t>
      </w:r>
      <w:r>
        <w:t xml:space="preserve"> (Hover over chart and you will see it is labeled “Plan Monitoring”.</w:t>
      </w:r>
      <w:r w:rsidR="00553BC4">
        <w:t xml:space="preserve"> </w:t>
      </w:r>
    </w:p>
    <w:p w14:paraId="004CC4EF" w14:textId="77777777" w:rsidR="00310592" w:rsidRDefault="00310592"/>
    <w:p w14:paraId="5C3BEF04" w14:textId="30D26572" w:rsidR="00310592" w:rsidRDefault="00310592">
      <w:r>
        <w:rPr>
          <w:noProof/>
        </w:rPr>
        <w:lastRenderedPageBreak/>
        <w:drawing>
          <wp:inline distT="0" distB="0" distL="0" distR="0" wp14:anchorId="128AA67A" wp14:editId="7417EB55">
            <wp:extent cx="5943600" cy="6257925"/>
            <wp:effectExtent l="0" t="0" r="0" b="9525"/>
            <wp:docPr id="2" name="Picture 2" descr="Graphical user interface,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imeline&#10;&#10;Description automatically generated"/>
                    <pic:cNvPicPr/>
                  </pic:nvPicPr>
                  <pic:blipFill>
                    <a:blip r:embed="rId7"/>
                    <a:stretch>
                      <a:fillRect/>
                    </a:stretch>
                  </pic:blipFill>
                  <pic:spPr>
                    <a:xfrm>
                      <a:off x="0" y="0"/>
                      <a:ext cx="5943600" cy="6257925"/>
                    </a:xfrm>
                    <a:prstGeom prst="rect">
                      <a:avLst/>
                    </a:prstGeom>
                  </pic:spPr>
                </pic:pic>
              </a:graphicData>
            </a:graphic>
          </wp:inline>
        </w:drawing>
      </w:r>
    </w:p>
    <w:p w14:paraId="3A80F88F" w14:textId="77777777" w:rsidR="00A2375F" w:rsidRDefault="00A2375F"/>
    <w:p w14:paraId="1B98FB16" w14:textId="551BC5C9" w:rsidR="00AC66D7" w:rsidRDefault="00310592">
      <w:r>
        <w:t xml:space="preserve"> “Plan </w:t>
      </w:r>
      <w:r w:rsidR="006621E8">
        <w:t>Fees</w:t>
      </w:r>
      <w:r>
        <w:t>”</w:t>
      </w:r>
      <w:r w:rsidR="006621E8">
        <w:t xml:space="preserve"> </w:t>
      </w:r>
      <w:r>
        <w:t>From top menu bar.</w:t>
      </w:r>
    </w:p>
    <w:p w14:paraId="7BF3AEC4" w14:textId="0253FD8A" w:rsidR="006621E8" w:rsidRDefault="00310592">
      <w:r>
        <w:rPr>
          <w:noProof/>
        </w:rPr>
        <w:lastRenderedPageBreak/>
        <w:drawing>
          <wp:inline distT="0" distB="0" distL="0" distR="0" wp14:anchorId="0394C9AD" wp14:editId="7F7AD307">
            <wp:extent cx="5943600" cy="4927600"/>
            <wp:effectExtent l="0" t="0" r="0" b="6350"/>
            <wp:docPr id="3" name="Picture 3"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application&#10;&#10;Description automatically generated"/>
                    <pic:cNvPicPr/>
                  </pic:nvPicPr>
                  <pic:blipFill>
                    <a:blip r:embed="rId8"/>
                    <a:stretch>
                      <a:fillRect/>
                    </a:stretch>
                  </pic:blipFill>
                  <pic:spPr>
                    <a:xfrm>
                      <a:off x="0" y="0"/>
                      <a:ext cx="5943600" cy="4927600"/>
                    </a:xfrm>
                    <a:prstGeom prst="rect">
                      <a:avLst/>
                    </a:prstGeom>
                  </pic:spPr>
                </pic:pic>
              </a:graphicData>
            </a:graphic>
          </wp:inline>
        </w:drawing>
      </w:r>
    </w:p>
    <w:p w14:paraId="6B325B77" w14:textId="05EBD740" w:rsidR="00553BC4" w:rsidRDefault="00553BC4"/>
    <w:p w14:paraId="43AD75C3" w14:textId="4E400BEE" w:rsidR="00553BC4" w:rsidRDefault="00553BC4" w:rsidP="00553BC4">
      <w:pPr>
        <w:pStyle w:val="ListParagraph"/>
        <w:numPr>
          <w:ilvl w:val="0"/>
          <w:numId w:val="6"/>
        </w:numPr>
      </w:pPr>
      <w:r>
        <w:t>Locate  Exp. Ratio and enter it in Fund Expense cell on Tab 1 of Request Form.</w:t>
      </w:r>
      <w:r w:rsidR="00B471F7">
        <w:t xml:space="preserve"> (Enter the rate not dollars.)</w:t>
      </w:r>
    </w:p>
    <w:p w14:paraId="378453F6" w14:textId="77777777" w:rsidR="00AE2594" w:rsidRDefault="0009268D">
      <w:r>
        <w:t>Close Envestnet</w:t>
      </w:r>
    </w:p>
    <w:p w14:paraId="0C346BDD" w14:textId="7741A81A" w:rsidR="00AC66D7" w:rsidRPr="00AE2594" w:rsidRDefault="00AE2594">
      <w:pPr>
        <w:rPr>
          <w:b/>
          <w:bCs/>
          <w:sz w:val="24"/>
          <w:szCs w:val="24"/>
        </w:rPr>
      </w:pPr>
      <w:r w:rsidRPr="00AE2594">
        <w:rPr>
          <w:b/>
          <w:bCs/>
          <w:sz w:val="24"/>
          <w:szCs w:val="24"/>
        </w:rPr>
        <w:t>FEE SCHEDULE SECTION</w:t>
      </w:r>
    </w:p>
    <w:p w14:paraId="23F7035D" w14:textId="3E701A70" w:rsidR="0009268D" w:rsidRDefault="0009268D">
      <w:r>
        <w:t>Open the plan’s fee schedule</w:t>
      </w:r>
      <w:r w:rsidR="001A476F">
        <w:t xml:space="preserve"> and </w:t>
      </w:r>
      <w:r w:rsidR="00553BC4">
        <w:t>n</w:t>
      </w:r>
      <w:r>
        <w:t xml:space="preserve">ote </w:t>
      </w:r>
      <w:r w:rsidR="00553BC4">
        <w:t xml:space="preserve">on Tab 1 of Request Form </w:t>
      </w:r>
      <w:r>
        <w:t xml:space="preserve">whether the plan is Fee Equalization or Fee Offset at the bottom of the </w:t>
      </w:r>
      <w:r w:rsidR="00B32920">
        <w:t>Summary</w:t>
      </w:r>
      <w:r>
        <w:t xml:space="preserve"> page</w:t>
      </w:r>
      <w:r w:rsidR="00B32920">
        <w:t xml:space="preserve"> (1</w:t>
      </w:r>
      <w:r w:rsidR="00B32920" w:rsidRPr="00B32920">
        <w:rPr>
          <w:vertAlign w:val="superscript"/>
        </w:rPr>
        <w:t>st</w:t>
      </w:r>
      <w:r w:rsidR="00B32920">
        <w:t xml:space="preserve"> Tab)</w:t>
      </w:r>
      <w:r>
        <w:t xml:space="preserve"> of the Benchmarking Fee Structure excel sheet.</w:t>
      </w:r>
      <w:r w:rsidR="005C3E0C">
        <w:t xml:space="preserve"> If the Plan is fee offset, be sure to </w:t>
      </w:r>
      <w:r w:rsidR="006E1512">
        <w:t>make note as to</w:t>
      </w:r>
      <w:r w:rsidR="005C3E0C">
        <w:t xml:space="preserve"> whether the offset is for the employer first or </w:t>
      </w:r>
      <w:r w:rsidR="00B471F7">
        <w:t>P</w:t>
      </w:r>
      <w:r w:rsidR="005C3E0C">
        <w:t xml:space="preserve">articipants first in the </w:t>
      </w:r>
      <w:r w:rsidR="006E1512">
        <w:t>“N</w:t>
      </w:r>
      <w:r w:rsidR="005C3E0C">
        <w:t>otes</w:t>
      </w:r>
      <w:r w:rsidR="006E1512">
        <w:t>”</w:t>
      </w:r>
      <w:r w:rsidR="005C3E0C">
        <w:t xml:space="preserve"> section</w:t>
      </w:r>
      <w:r w:rsidR="006E1512">
        <w:t>. If revenue sharing is included on invoice you should also list it   in “Notes” section for further discussion if necessary</w:t>
      </w:r>
      <w:r w:rsidR="005C3E0C">
        <w:t>.</w:t>
      </w:r>
    </w:p>
    <w:p w14:paraId="1B753345" w14:textId="0BC90D4C" w:rsidR="00AE2594" w:rsidRDefault="00AE2594">
      <w:r>
        <w:t>Close the fee schedule</w:t>
      </w:r>
    </w:p>
    <w:p w14:paraId="3B0FE6CA" w14:textId="62F0DA5F" w:rsidR="00AE2594" w:rsidRDefault="006E1512">
      <w:pPr>
        <w:rPr>
          <w:b/>
          <w:bCs/>
          <w:sz w:val="24"/>
          <w:szCs w:val="24"/>
        </w:rPr>
      </w:pPr>
      <w:r>
        <w:rPr>
          <w:b/>
          <w:bCs/>
          <w:sz w:val="24"/>
          <w:szCs w:val="24"/>
        </w:rPr>
        <w:t>Review:</w:t>
      </w:r>
    </w:p>
    <w:p w14:paraId="4CF662E0" w14:textId="233C0896" w:rsidR="006E1512" w:rsidRDefault="006E1512">
      <w:pPr>
        <w:rPr>
          <w:b/>
          <w:bCs/>
          <w:sz w:val="24"/>
          <w:szCs w:val="24"/>
        </w:rPr>
      </w:pPr>
    </w:p>
    <w:p w14:paraId="51223AD5" w14:textId="3B9D4A57" w:rsidR="006E1512" w:rsidRDefault="006E1512" w:rsidP="006E1512">
      <w:pPr>
        <w:pStyle w:val="ListParagraph"/>
        <w:numPr>
          <w:ilvl w:val="0"/>
          <w:numId w:val="6"/>
        </w:numPr>
        <w:rPr>
          <w:sz w:val="24"/>
          <w:szCs w:val="24"/>
        </w:rPr>
      </w:pPr>
      <w:r w:rsidRPr="00807F91">
        <w:rPr>
          <w:sz w:val="24"/>
          <w:szCs w:val="24"/>
        </w:rPr>
        <w:lastRenderedPageBreak/>
        <w:t xml:space="preserve">Check to ensure the quarterly fee total on invoice matches quarterly fee total on Tab 2 of Request Form. </w:t>
      </w:r>
      <w:r w:rsidR="009419E8">
        <w:rPr>
          <w:sz w:val="24"/>
          <w:szCs w:val="24"/>
        </w:rPr>
        <w:t xml:space="preserve"> See examples below:</w:t>
      </w:r>
    </w:p>
    <w:p w14:paraId="15688A75" w14:textId="7865FD3A" w:rsidR="009419E8" w:rsidRDefault="009419E8" w:rsidP="009419E8">
      <w:pPr>
        <w:rPr>
          <w:sz w:val="24"/>
          <w:szCs w:val="24"/>
        </w:rPr>
      </w:pPr>
      <w:r>
        <w:rPr>
          <w:noProof/>
        </w:rPr>
        <w:drawing>
          <wp:inline distT="0" distB="0" distL="0" distR="0" wp14:anchorId="457116C6" wp14:editId="12EBBAB2">
            <wp:extent cx="5943600" cy="5862320"/>
            <wp:effectExtent l="0" t="0" r="0" b="5080"/>
            <wp:docPr id="5" name="Picture 5" descr="Graphical user interface, table, Exc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able, Excel&#10;&#10;Description automatically generated"/>
                    <pic:cNvPicPr/>
                  </pic:nvPicPr>
                  <pic:blipFill>
                    <a:blip r:embed="rId9"/>
                    <a:stretch>
                      <a:fillRect/>
                    </a:stretch>
                  </pic:blipFill>
                  <pic:spPr>
                    <a:xfrm>
                      <a:off x="0" y="0"/>
                      <a:ext cx="5943600" cy="5862320"/>
                    </a:xfrm>
                    <a:prstGeom prst="rect">
                      <a:avLst/>
                    </a:prstGeom>
                  </pic:spPr>
                </pic:pic>
              </a:graphicData>
            </a:graphic>
          </wp:inline>
        </w:drawing>
      </w:r>
    </w:p>
    <w:p w14:paraId="7BB08D9B" w14:textId="4B192FA3" w:rsidR="009419E8" w:rsidRPr="009419E8" w:rsidRDefault="009419E8" w:rsidP="009419E8">
      <w:pPr>
        <w:rPr>
          <w:sz w:val="24"/>
          <w:szCs w:val="24"/>
        </w:rPr>
      </w:pPr>
      <w:r>
        <w:rPr>
          <w:noProof/>
        </w:rPr>
        <w:lastRenderedPageBreak/>
        <w:drawing>
          <wp:inline distT="0" distB="0" distL="0" distR="0" wp14:anchorId="20456CA3" wp14:editId="36313751">
            <wp:extent cx="5943600" cy="2769870"/>
            <wp:effectExtent l="0" t="0" r="0" b="0"/>
            <wp:docPr id="6" name="Picture 6" descr="Graphical user interface, application,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application, table&#10;&#10;Description automatically generated"/>
                    <pic:cNvPicPr/>
                  </pic:nvPicPr>
                  <pic:blipFill>
                    <a:blip r:embed="rId10"/>
                    <a:stretch>
                      <a:fillRect/>
                    </a:stretch>
                  </pic:blipFill>
                  <pic:spPr>
                    <a:xfrm>
                      <a:off x="0" y="0"/>
                      <a:ext cx="5943600" cy="2769870"/>
                    </a:xfrm>
                    <a:prstGeom prst="rect">
                      <a:avLst/>
                    </a:prstGeom>
                  </pic:spPr>
                </pic:pic>
              </a:graphicData>
            </a:graphic>
          </wp:inline>
        </w:drawing>
      </w:r>
    </w:p>
    <w:p w14:paraId="6FB473F2" w14:textId="77777777" w:rsidR="009419E8" w:rsidRDefault="009419E8" w:rsidP="009419E8">
      <w:pPr>
        <w:pStyle w:val="ListParagraph"/>
        <w:rPr>
          <w:sz w:val="24"/>
          <w:szCs w:val="24"/>
        </w:rPr>
      </w:pPr>
    </w:p>
    <w:p w14:paraId="040F2D65" w14:textId="0594C6A2" w:rsidR="009419E8" w:rsidRDefault="009419E8" w:rsidP="006E1512">
      <w:pPr>
        <w:pStyle w:val="ListParagraph"/>
        <w:numPr>
          <w:ilvl w:val="0"/>
          <w:numId w:val="6"/>
        </w:numPr>
        <w:rPr>
          <w:sz w:val="24"/>
          <w:szCs w:val="24"/>
        </w:rPr>
      </w:pPr>
      <w:r>
        <w:rPr>
          <w:sz w:val="24"/>
          <w:szCs w:val="24"/>
        </w:rPr>
        <w:t>Ret</w:t>
      </w:r>
      <w:r w:rsidR="00B471F7">
        <w:rPr>
          <w:sz w:val="24"/>
          <w:szCs w:val="24"/>
        </w:rPr>
        <w:t>urn to tab 1 of “Fee Benchmark Request Form</w:t>
      </w:r>
    </w:p>
    <w:p w14:paraId="3E45143F" w14:textId="7F255DD1" w:rsidR="006E1512" w:rsidRPr="00807F91" w:rsidRDefault="006E1512" w:rsidP="006E1512">
      <w:pPr>
        <w:pStyle w:val="ListParagraph"/>
        <w:numPr>
          <w:ilvl w:val="0"/>
          <w:numId w:val="6"/>
        </w:numPr>
        <w:rPr>
          <w:sz w:val="24"/>
          <w:szCs w:val="24"/>
        </w:rPr>
      </w:pPr>
      <w:r w:rsidRPr="00807F91">
        <w:rPr>
          <w:sz w:val="24"/>
          <w:szCs w:val="24"/>
        </w:rPr>
        <w:t>Add any additional notes you may wish to cover with</w:t>
      </w:r>
      <w:r w:rsidR="00B471F7">
        <w:rPr>
          <w:sz w:val="24"/>
          <w:szCs w:val="24"/>
        </w:rPr>
        <w:t xml:space="preserve"> the</w:t>
      </w:r>
      <w:r w:rsidRPr="00807F91">
        <w:rPr>
          <w:sz w:val="24"/>
          <w:szCs w:val="24"/>
        </w:rPr>
        <w:t xml:space="preserve"> client</w:t>
      </w:r>
      <w:r w:rsidR="00B471F7">
        <w:rPr>
          <w:sz w:val="24"/>
          <w:szCs w:val="24"/>
        </w:rPr>
        <w:t xml:space="preserve"> relevant to plan fees such as </w:t>
      </w:r>
      <w:r w:rsidRPr="00807F91">
        <w:rPr>
          <w:sz w:val="24"/>
          <w:szCs w:val="24"/>
        </w:rPr>
        <w:t>handling of revenue, use of forfeitures to offset fees, etc.</w:t>
      </w:r>
    </w:p>
    <w:p w14:paraId="4DAF7EFC" w14:textId="77777777" w:rsidR="00807F91" w:rsidRDefault="006E1512" w:rsidP="006E1512">
      <w:pPr>
        <w:pStyle w:val="ListParagraph"/>
        <w:numPr>
          <w:ilvl w:val="0"/>
          <w:numId w:val="6"/>
        </w:numPr>
        <w:rPr>
          <w:sz w:val="24"/>
          <w:szCs w:val="24"/>
        </w:rPr>
      </w:pPr>
      <w:r w:rsidRPr="00807F91">
        <w:rPr>
          <w:sz w:val="24"/>
          <w:szCs w:val="24"/>
        </w:rPr>
        <w:t>Enter total employees with balances from Invoice in Tab 1 of request form. (Combine Actives with Terminated Participants billed on invoice).</w:t>
      </w:r>
    </w:p>
    <w:p w14:paraId="13909CA1" w14:textId="3044C39A" w:rsidR="00807F91" w:rsidRDefault="006E1512" w:rsidP="006E1512">
      <w:pPr>
        <w:pStyle w:val="ListParagraph"/>
        <w:numPr>
          <w:ilvl w:val="0"/>
          <w:numId w:val="6"/>
        </w:numPr>
        <w:rPr>
          <w:b/>
          <w:bCs/>
          <w:sz w:val="24"/>
          <w:szCs w:val="24"/>
        </w:rPr>
      </w:pPr>
      <w:r w:rsidRPr="00807F91">
        <w:rPr>
          <w:sz w:val="24"/>
          <w:szCs w:val="24"/>
        </w:rPr>
        <w:t xml:space="preserve">Save Request From and </w:t>
      </w:r>
      <w:r w:rsidR="00807F91" w:rsidRPr="00807F91">
        <w:rPr>
          <w:sz w:val="24"/>
          <w:szCs w:val="24"/>
        </w:rPr>
        <w:t xml:space="preserve">email it to </w:t>
      </w:r>
      <w:r w:rsidRPr="00807F91">
        <w:rPr>
          <w:sz w:val="24"/>
          <w:szCs w:val="24"/>
        </w:rPr>
        <w:t>Sales Support at:</w:t>
      </w:r>
      <w:r w:rsidR="00656A1E">
        <w:rPr>
          <w:sz w:val="24"/>
          <w:szCs w:val="24"/>
        </w:rPr>
        <w:t xml:space="preserve"> </w:t>
      </w:r>
      <w:hyperlink r:id="rId11" w:history="1">
        <w:r w:rsidR="002B73F1" w:rsidRPr="00DC3E11">
          <w:rPr>
            <w:rStyle w:val="Hyperlink"/>
            <w:b/>
            <w:bCs/>
            <w:sz w:val="24"/>
            <w:szCs w:val="24"/>
          </w:rPr>
          <w:t>salessupport@alerus.com</w:t>
        </w:r>
      </w:hyperlink>
    </w:p>
    <w:p w14:paraId="650F953D" w14:textId="742EEAF1" w:rsidR="002B73F1" w:rsidRPr="00656A1E" w:rsidRDefault="002B73F1" w:rsidP="006E1512">
      <w:pPr>
        <w:pStyle w:val="ListParagraph"/>
        <w:numPr>
          <w:ilvl w:val="0"/>
          <w:numId w:val="6"/>
        </w:numPr>
        <w:rPr>
          <w:b/>
          <w:bCs/>
          <w:sz w:val="24"/>
          <w:szCs w:val="24"/>
        </w:rPr>
      </w:pPr>
      <w:r>
        <w:rPr>
          <w:sz w:val="24"/>
          <w:szCs w:val="24"/>
        </w:rPr>
        <w:t>Time Frame to receive completed benchmark reports is 3 business days for request received in good order.</w:t>
      </w:r>
    </w:p>
    <w:p w14:paraId="41A56FB7" w14:textId="60A77717" w:rsidR="006E1512" w:rsidRPr="00807F91" w:rsidRDefault="006E1512" w:rsidP="00DA4468">
      <w:pPr>
        <w:pStyle w:val="ListParagraph"/>
        <w:rPr>
          <w:sz w:val="24"/>
          <w:szCs w:val="24"/>
        </w:rPr>
      </w:pPr>
      <w:r w:rsidRPr="00807F91">
        <w:rPr>
          <w:sz w:val="24"/>
          <w:szCs w:val="24"/>
        </w:rPr>
        <w:t xml:space="preserve"> </w:t>
      </w:r>
    </w:p>
    <w:sectPr w:rsidR="006E1512" w:rsidRPr="00807F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93FA8"/>
    <w:multiLevelType w:val="hybridMultilevel"/>
    <w:tmpl w:val="231C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362058"/>
    <w:multiLevelType w:val="hybridMultilevel"/>
    <w:tmpl w:val="09A8E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4328C4"/>
    <w:multiLevelType w:val="hybridMultilevel"/>
    <w:tmpl w:val="1E24D1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1007811"/>
    <w:multiLevelType w:val="hybridMultilevel"/>
    <w:tmpl w:val="F1AC07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D315CD"/>
    <w:multiLevelType w:val="hybridMultilevel"/>
    <w:tmpl w:val="05AAA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49703D"/>
    <w:multiLevelType w:val="hybridMultilevel"/>
    <w:tmpl w:val="05E81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04472437">
    <w:abstractNumId w:val="1"/>
  </w:num>
  <w:num w:numId="2" w16cid:durableId="66390525">
    <w:abstractNumId w:val="3"/>
  </w:num>
  <w:num w:numId="3" w16cid:durableId="192964761">
    <w:abstractNumId w:val="5"/>
  </w:num>
  <w:num w:numId="4" w16cid:durableId="943272852">
    <w:abstractNumId w:val="4"/>
  </w:num>
  <w:num w:numId="5" w16cid:durableId="1165782146">
    <w:abstractNumId w:val="0"/>
  </w:num>
  <w:num w:numId="6" w16cid:durableId="4872100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D7"/>
    <w:rsid w:val="00011B50"/>
    <w:rsid w:val="0009268D"/>
    <w:rsid w:val="001129BD"/>
    <w:rsid w:val="00126564"/>
    <w:rsid w:val="0018292B"/>
    <w:rsid w:val="001A476F"/>
    <w:rsid w:val="001B6CE6"/>
    <w:rsid w:val="00262D28"/>
    <w:rsid w:val="002B73F1"/>
    <w:rsid w:val="00310592"/>
    <w:rsid w:val="003312CB"/>
    <w:rsid w:val="003C6820"/>
    <w:rsid w:val="00477C37"/>
    <w:rsid w:val="004E492F"/>
    <w:rsid w:val="00553BC4"/>
    <w:rsid w:val="005C3E0C"/>
    <w:rsid w:val="006050E5"/>
    <w:rsid w:val="00656A1E"/>
    <w:rsid w:val="006621E8"/>
    <w:rsid w:val="006E1512"/>
    <w:rsid w:val="006F5B72"/>
    <w:rsid w:val="00807F91"/>
    <w:rsid w:val="0083489A"/>
    <w:rsid w:val="009419E8"/>
    <w:rsid w:val="00963BD2"/>
    <w:rsid w:val="00A2375F"/>
    <w:rsid w:val="00AC66D7"/>
    <w:rsid w:val="00AD1328"/>
    <w:rsid w:val="00AE2594"/>
    <w:rsid w:val="00B32920"/>
    <w:rsid w:val="00B471F7"/>
    <w:rsid w:val="00B86D7C"/>
    <w:rsid w:val="00BD4B88"/>
    <w:rsid w:val="00C90AF0"/>
    <w:rsid w:val="00CC5216"/>
    <w:rsid w:val="00CE2FE4"/>
    <w:rsid w:val="00D04C8E"/>
    <w:rsid w:val="00DA4468"/>
    <w:rsid w:val="00E67885"/>
    <w:rsid w:val="00F76A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5256B"/>
  <w15:chartTrackingRefBased/>
  <w15:docId w15:val="{2C2972A3-E854-432B-B901-A2950F615E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6CE6"/>
    <w:pPr>
      <w:ind w:left="720"/>
      <w:contextualSpacing/>
    </w:pPr>
  </w:style>
  <w:style w:type="character" w:styleId="Hyperlink">
    <w:name w:val="Hyperlink"/>
    <w:basedOn w:val="DefaultParagraphFont"/>
    <w:uiPriority w:val="99"/>
    <w:unhideWhenUsed/>
    <w:rsid w:val="002B73F1"/>
    <w:rPr>
      <w:color w:val="0563C1" w:themeColor="hyperlink"/>
      <w:u w:val="single"/>
    </w:rPr>
  </w:style>
  <w:style w:type="character" w:styleId="UnresolvedMention">
    <w:name w:val="Unresolved Mention"/>
    <w:basedOn w:val="DefaultParagraphFont"/>
    <w:uiPriority w:val="99"/>
    <w:semiHidden/>
    <w:unhideWhenUsed/>
    <w:rsid w:val="002B7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salessupport@alerus.com" TargetMode="Externa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467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Alerus Financial</Company>
  <LinksUpToDate>false</LinksUpToDate>
  <CharactersWithSpaces>3126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Ford</dc:creator>
  <cp:keywords/>
  <dc:description/>
  <cp:lastModifiedBy>Chris McBride</cp:lastModifiedBy>
  <cp:revision>3</cp:revision>
  <dcterms:created xsi:type="dcterms:W3CDTF">2023-02-02T17:12:00Z</dcterms:created>
  <dcterms:modified xsi:type="dcterms:W3CDTF">2023-02-23T17:52:00Z</dcterms:modified>
</cp:coreProperties>
</file>